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  <w:gridCol w:w="289"/>
      </w:tblGrid>
      <w:tr w:rsidR="007217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5917D1" w:rsidRDefault="005917D1">
            <w:pPr>
              <w:pStyle w:val="1CStyle-1"/>
              <w:jc w:val="left"/>
            </w:pPr>
            <w:bookmarkStart w:id="0" w:name="_GoBack"/>
            <w:bookmarkEnd w:id="0"/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</w:tr>
      <w:tr w:rsidR="007217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5917D1" w:rsidRDefault="005917D1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</w:tr>
      <w:tr w:rsidR="00591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5917D1" w:rsidRDefault="00721774">
            <w:pPr>
              <w:pStyle w:val="1CStyle1"/>
            </w:pPr>
            <w:r>
              <w:t>Техническое задание по Лоту №1</w:t>
            </w:r>
          </w:p>
        </w:tc>
      </w:tr>
      <w:tr w:rsidR="00591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5917D1" w:rsidRDefault="00721774">
            <w:pPr>
              <w:pStyle w:val="1CStyle1"/>
            </w:pPr>
            <w:r>
              <w:t>По открытому запросу предложений  в электронной форме № 112 766</w:t>
            </w:r>
          </w:p>
        </w:tc>
      </w:tr>
      <w:tr w:rsidR="00591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0" w:type="dxa"/>
            <w:gridSpan w:val="50"/>
            <w:shd w:val="clear" w:color="FFFFFF" w:fill="auto"/>
            <w:vAlign w:val="bottom"/>
          </w:tcPr>
          <w:p w:rsidR="005917D1" w:rsidRDefault="00721774">
            <w:pPr>
              <w:pStyle w:val="1CStyle1"/>
            </w:pPr>
            <w:r>
              <w:t>Для нужд: АО "Газпром газораспределение Оренбург"</w:t>
            </w:r>
          </w:p>
        </w:tc>
      </w:tr>
      <w:tr w:rsidR="007217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5917D1" w:rsidRDefault="005917D1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</w:tr>
      <w:tr w:rsidR="007217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5917D1" w:rsidRDefault="005917D1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</w:tr>
      <w:tr w:rsidR="007217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5917D1" w:rsidRDefault="005917D1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</w:tr>
      <w:tr w:rsidR="007217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</w:tcPr>
          <w:p w:rsidR="005917D1" w:rsidRDefault="005917D1">
            <w:pPr>
              <w:pStyle w:val="1CStyle-1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  <w:jc w:val="left"/>
            </w:pPr>
          </w:p>
        </w:tc>
      </w:tr>
      <w:tr w:rsidR="00591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2"/>
            </w:pPr>
            <w:r>
              <w:t>1.</w:t>
            </w:r>
          </w:p>
        </w:tc>
        <w:tc>
          <w:tcPr>
            <w:tcW w:w="8381" w:type="dxa"/>
            <w:gridSpan w:val="29"/>
            <w:vMerge w:val="restart"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3"/>
              <w:jc w:val="left"/>
            </w:pPr>
            <w: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4"/>
              <w:jc w:val="left"/>
            </w:pPr>
            <w:r>
              <w:t>ОКДП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4"/>
              <w:jc w:val="left"/>
            </w:pPr>
            <w:r>
              <w:t>ОКВЭД</w:t>
            </w:r>
          </w:p>
        </w:tc>
      </w:tr>
      <w:tr w:rsidR="00591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2"/>
            </w:pPr>
            <w:r>
              <w:t>1.</w:t>
            </w:r>
          </w:p>
        </w:tc>
        <w:tc>
          <w:tcPr>
            <w:tcW w:w="8381" w:type="dxa"/>
            <w:gridSpan w:val="29"/>
            <w:vMerge/>
            <w:tcBorders>
              <w:top w:val="single" w:sz="5" w:space="0" w:color="auto"/>
              <w:left w:val="single" w:sz="5" w:space="0" w:color="auto"/>
              <w:bottom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3"/>
              <w:jc w:val="left"/>
            </w:pPr>
            <w:r>
              <w:t>Предмет закупки.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5917D1">
            <w:pPr>
              <w:pStyle w:val="1CStyle5"/>
              <w:jc w:val="left"/>
            </w:pP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5917D1">
            <w:pPr>
              <w:pStyle w:val="1CStyle5"/>
              <w:jc w:val="left"/>
            </w:pPr>
          </w:p>
        </w:tc>
      </w:tr>
      <w:tr w:rsidR="00591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6"/>
            </w:pPr>
            <w:r>
              <w:t>№</w:t>
            </w:r>
            <w:r>
              <w:br/>
              <w:t>п/п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7"/>
            </w:pPr>
            <w:r>
              <w:t>Наименование предмета закупки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8"/>
            </w:pPr>
            <w:r>
              <w:t>Ед.</w:t>
            </w:r>
            <w:r>
              <w:br/>
              <w:t>изм.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9"/>
            </w:pPr>
            <w:r>
              <w:t>Колич</w:t>
            </w:r>
            <w:r>
              <w:br/>
              <w:t>ество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9"/>
            </w:pPr>
            <w:r>
              <w:t>Допустимость аналога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10"/>
            </w:pPr>
            <w:r>
              <w:t>Грузополучатель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11"/>
            </w:pPr>
            <w:r>
              <w:t>Место (адрес) поставки товара</w:t>
            </w:r>
          </w:p>
        </w:tc>
      </w:tr>
      <w:tr w:rsidR="00591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12"/>
            </w:pPr>
            <w:r>
              <w:t>1</w:t>
            </w:r>
          </w:p>
        </w:tc>
        <w:tc>
          <w:tcPr>
            <w:tcW w:w="5202" w:type="dxa"/>
            <w:gridSpan w:val="1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13"/>
              <w:jc w:val="left"/>
            </w:pPr>
            <w:r>
              <w:t xml:space="preserve">Автомобиль легковой Chevrolet Niva GLC </w:t>
            </w:r>
            <w:r>
              <w:t>внедорожник 5 мест,дв.1.7 л 58.5 кВт,бензин,МКПП5,4х4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9"/>
            </w:pPr>
            <w:r>
              <w:t>Штука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14"/>
            </w:pPr>
            <w:r>
              <w:t>2,000</w:t>
            </w:r>
          </w:p>
        </w:tc>
        <w:tc>
          <w:tcPr>
            <w:tcW w:w="867" w:type="dxa"/>
            <w:gridSpan w:val="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15"/>
            </w:pPr>
            <w:r>
              <w:t>Нет</w:t>
            </w:r>
          </w:p>
        </w:tc>
        <w:tc>
          <w:tcPr>
            <w:tcW w:w="2890" w:type="dxa"/>
            <w:gridSpan w:val="10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13"/>
              <w:jc w:val="left"/>
            </w:pPr>
            <w:r>
              <w:t>АО "Газпром газораспределение Оренбург"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13"/>
              <w:jc w:val="left"/>
            </w:pPr>
            <w:r>
              <w:t>г.Бузулук, ул.Гая, 110</w:t>
            </w:r>
          </w:p>
        </w:tc>
      </w:tr>
      <w:tr w:rsidR="00591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917D1" w:rsidRDefault="00721774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17"/>
              <w:jc w:val="left"/>
            </w:pPr>
            <w:r>
              <w:t>Нива-Шевролет (ВАЗ-212300-55), комплектация GLC        цвет белый (Айсберг), с</w:t>
            </w:r>
            <w:r>
              <w:t xml:space="preserve"> установкой ГБО (пропан) 4-го поколения, баллон  до 50 л,  2017 года.</w:t>
            </w:r>
            <w:r>
              <w:br/>
            </w:r>
            <w:r>
              <w:br/>
              <w:t>Габаритные размеры: длина / ширина / высота, мм 4056/2120/1690</w:t>
            </w:r>
            <w:r>
              <w:br/>
              <w:t>База, мм 2450</w:t>
            </w:r>
            <w:r>
              <w:br/>
              <w:t>Колея передних / задних колес, мм 1466 /1456</w:t>
            </w:r>
            <w:r>
              <w:br/>
              <w:t>Объем багажного отделения, куб. дм. 320/ 650</w:t>
            </w:r>
            <w:r>
              <w:br/>
              <w:t>Дорожный просвет ,</w:t>
            </w:r>
            <w:r>
              <w:t xml:space="preserve"> мм 220</w:t>
            </w:r>
            <w:r>
              <w:br/>
              <w:t>Масса в снаряженном состоянии / полная, кг 1410 / 1860</w:t>
            </w:r>
            <w:r>
              <w:br/>
              <w:t>Допустимая полная масса буксируемого прицепа с тормозами / без тормозов, кг 1200/600</w:t>
            </w:r>
            <w:r>
              <w:br/>
              <w:t>Тип кузова / количество дверей внедорожник / 5</w:t>
            </w:r>
            <w:r>
              <w:br/>
              <w:t>Колесная формула / ведущие колеса 4 x 4 / все</w:t>
            </w:r>
            <w:r>
              <w:br/>
              <w:t>Тип двигателя ч</w:t>
            </w:r>
            <w:r>
              <w:t>етырехтактный, бензиновый</w:t>
            </w:r>
            <w:r>
              <w:br/>
              <w:t>Система питания распределенный впрыск топлива</w:t>
            </w:r>
            <w:r>
              <w:br/>
              <w:t>Количество и расположение цилиндров 4, рядное</w:t>
            </w:r>
            <w:r>
              <w:br/>
              <w:t>Рабочий объём двигателя, куб. см 1690</w:t>
            </w:r>
            <w:r>
              <w:br/>
              <w:t>Максимальная мощность, л.с. / об. мин. 79,6 / 4000</w:t>
            </w:r>
            <w:r>
              <w:br/>
              <w:t>Максимальный крутящий момент, Нм / об. мин. 127,4</w:t>
            </w:r>
            <w:r>
              <w:t>/ 4000</w:t>
            </w:r>
            <w:r>
              <w:br/>
              <w:t>Топливо Бензин с октановым числом не менее 95</w:t>
            </w:r>
            <w:r>
              <w:br/>
              <w:t>Максимальная скорость, км/ч 140</w:t>
            </w:r>
            <w:r>
              <w:br/>
              <w:t>Городской цикл, л/100 км 13,2</w:t>
            </w:r>
            <w:r>
              <w:br/>
              <w:t>Загородный цикл, л/100 км 8,4</w:t>
            </w:r>
            <w:r>
              <w:br/>
              <w:t>Смешанный цикл, л/100 км 10,2</w:t>
            </w:r>
            <w:r>
              <w:br/>
              <w:t>Снаряженная масса, кг 1410</w:t>
            </w:r>
            <w:r>
              <w:br/>
              <w:t>Полная масса, кг 1860</w:t>
            </w:r>
            <w:r>
              <w:br/>
              <w:t>Объём топливного бака, л 58</w:t>
            </w:r>
            <w:r>
              <w:br/>
              <w:t xml:space="preserve">Тип </w:t>
            </w:r>
            <w:r>
              <w:t>трансмиссии 5МТ</w:t>
            </w:r>
            <w:r>
              <w:br/>
              <w:t>Передняя пружинная, независимая, 2-рычажная</w:t>
            </w:r>
            <w:r>
              <w:br/>
              <w:t>Задняя  пружинная, зависимая, 5-штанговая</w:t>
            </w:r>
            <w:r>
              <w:br/>
            </w:r>
            <w:r>
              <w:br/>
              <w:t>Размерность           215/65R16</w:t>
            </w:r>
            <w:r>
              <w:br/>
            </w:r>
            <w:r>
              <w:br/>
              <w:t>СОСТАВ КОМПЛЕКТАЦИИ</w:t>
            </w:r>
            <w:r>
              <w:br/>
              <w:t>Фары с темным безелем</w:t>
            </w:r>
            <w:r>
              <w:br/>
              <w:t>Бампер передний, задний, молдинги и накладки арок, окрашенные в цвет кузова</w:t>
            </w:r>
            <w:r>
              <w:br/>
              <w:t>Ру</w:t>
            </w:r>
            <w:r>
              <w:t>чки дверей, окрашенные в цвет кузова</w:t>
            </w:r>
            <w:r>
              <w:br/>
              <w:t>Передние противотуманные фары</w:t>
            </w:r>
            <w:r>
              <w:br/>
              <w:t>Хромированная вставка на решетке радиатора</w:t>
            </w:r>
            <w:r>
              <w:br/>
              <w:t>Наружные зеркала заднего вида с электроприводом и подогревом, окрашенные в цвет кузова</w:t>
            </w:r>
            <w:r>
              <w:br/>
              <w:t>Рейлинги крыши (нагрузка до 75 кг)</w:t>
            </w:r>
            <w:r>
              <w:br/>
              <w:t>Колеса легкосплавные 16'</w:t>
            </w:r>
            <w:r>
              <w:t>' с логотипом Chevrolet</w:t>
            </w:r>
            <w:r>
              <w:br/>
              <w:t>Обогреваемое ветровое стекло</w:t>
            </w:r>
            <w:r>
              <w:br/>
              <w:t>Задний плафон освещения салона</w:t>
            </w:r>
            <w:r>
              <w:br/>
              <w:t>Козырек правый противосолнечный с зеркалом</w:t>
            </w:r>
            <w:r>
              <w:br/>
              <w:t>Передние сиденья с подогревом</w:t>
            </w:r>
            <w:r>
              <w:br/>
              <w:t>Кондиционер</w:t>
            </w:r>
            <w:r>
              <w:br/>
              <w:t>Водительское сиденье с поясничной поддержкой</w:t>
            </w:r>
            <w:r>
              <w:br/>
              <w:t>Внешняя антенна</w:t>
            </w:r>
            <w:r>
              <w:br/>
              <w:t>Магнитола, два передних ди</w:t>
            </w:r>
            <w:r>
              <w:t>намика, антенна и аудиоподготовка подключения задних динамиков (жгуты проводов в обивках задних стоек)</w:t>
            </w:r>
            <w:r>
              <w:br/>
              <w:t>Центральный замок с дистанционным управлением</w:t>
            </w:r>
            <w:r>
              <w:br/>
              <w:t>Подушки безопасности водителя и переднего пассажира</w:t>
            </w:r>
            <w:r>
              <w:br/>
              <w:t>Преднатяжители ремней безопасности водителя и</w:t>
            </w:r>
          </w:p>
        </w:tc>
      </w:tr>
      <w:tr w:rsidR="00591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1445" w:type="dxa"/>
            <w:gridSpan w:val="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917D1" w:rsidRDefault="00721774">
            <w:pPr>
              <w:pStyle w:val="1CStyle16"/>
            </w:pPr>
            <w:r>
              <w:t>Технические характеристики предмета закупки</w:t>
            </w:r>
          </w:p>
        </w:tc>
        <w:tc>
          <w:tcPr>
            <w:tcW w:w="13005" w:type="dxa"/>
            <w:gridSpan w:val="45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17"/>
              <w:jc w:val="left"/>
            </w:pPr>
            <w:r>
              <w:t>переднего пассажира</w:t>
            </w:r>
            <w:r>
              <w:br/>
              <w:t>Подголовники задних сидений L-образной формы</w:t>
            </w:r>
            <w:r>
              <w:br/>
              <w:t>Антиблокировочная система (АБС)</w:t>
            </w:r>
            <w:r>
              <w:br/>
              <w:t>Сигнализация, интегрированная с блоком иммобилайзера</w:t>
            </w:r>
            <w:r>
              <w:br/>
              <w:t>Алюминиевый кронштейн запасного колеса</w:t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  <w:r>
              <w:br/>
            </w:r>
          </w:p>
        </w:tc>
      </w:tr>
      <w:tr w:rsidR="007217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</w:tr>
      <w:tr w:rsidR="00591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917D1" w:rsidRDefault="00721774">
            <w:pPr>
              <w:pStyle w:val="1CStyle19"/>
            </w:pPr>
            <w:r>
              <w:t>2.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917D1" w:rsidRDefault="00721774">
            <w:pPr>
              <w:pStyle w:val="1CStyle20"/>
              <w:jc w:val="left"/>
            </w:pPr>
            <w:r>
              <w:t>Условия поставки товаров</w:t>
            </w:r>
          </w:p>
        </w:tc>
      </w:tr>
      <w:tr w:rsidR="00591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917D1" w:rsidRDefault="00721774">
            <w:pPr>
              <w:pStyle w:val="1CStyle21"/>
            </w:pPr>
            <w:r>
              <w:t>Грузополучатель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5"/>
              <w:jc w:val="left"/>
            </w:pPr>
            <w:r>
              <w:t>АО "Газпром газораспределение Оренбург"</w:t>
            </w:r>
          </w:p>
        </w:tc>
      </w:tr>
      <w:tr w:rsidR="00591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917D1" w:rsidRDefault="00721774">
            <w:pPr>
              <w:pStyle w:val="1CStyle21"/>
            </w:pPr>
            <w:r>
              <w:t>Место (адрес)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22"/>
              <w:jc w:val="left"/>
            </w:pPr>
            <w:r>
              <w:t>г.Бузулук, ул.Гая, 110</w:t>
            </w:r>
          </w:p>
        </w:tc>
      </w:tr>
      <w:tr w:rsidR="00591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335" w:type="dxa"/>
            <w:gridSpan w:val="1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917D1" w:rsidRDefault="00721774">
            <w:pPr>
              <w:pStyle w:val="1CStyle21"/>
            </w:pPr>
            <w:r>
              <w:t>Обязательное требование к сроку поставки товаров</w:t>
            </w:r>
          </w:p>
        </w:tc>
        <w:tc>
          <w:tcPr>
            <w:tcW w:w="10115" w:type="dxa"/>
            <w:gridSpan w:val="35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22"/>
              <w:jc w:val="left"/>
            </w:pPr>
            <w:r>
              <w:t xml:space="preserve">Строго в соответствии с графиком </w:t>
            </w:r>
            <w:r>
              <w:t>поставки товара:</w:t>
            </w:r>
          </w:p>
        </w:tc>
      </w:tr>
      <w:tr w:rsidR="007217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</w:tr>
      <w:tr w:rsidR="00591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917D1" w:rsidRDefault="00721774">
            <w:pPr>
              <w:pStyle w:val="1CStyle19"/>
            </w:pPr>
            <w:r>
              <w:t>2.1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917D1" w:rsidRDefault="00721774">
            <w:pPr>
              <w:pStyle w:val="1CStyle23"/>
              <w:jc w:val="left"/>
            </w:pPr>
            <w:r>
              <w:t>График поставки</w:t>
            </w:r>
          </w:p>
        </w:tc>
      </w:tr>
      <w:tr w:rsidR="00591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6"/>
            </w:pPr>
            <w:r>
              <w:t>№</w:t>
            </w:r>
            <w:r>
              <w:br/>
              <w:t>п/п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7"/>
            </w:pPr>
            <w:r>
              <w:t>Наименование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12"/>
            </w:pPr>
            <w:r>
              <w:t>Срок поставки товара на склад грузополучателя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9"/>
            </w:pPr>
            <w:r>
              <w:t>Колич</w:t>
            </w:r>
            <w:r>
              <w:br/>
              <w:t>ество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8"/>
            </w:pPr>
            <w:r>
              <w:t>Ед.</w:t>
            </w:r>
            <w:r>
              <w:br/>
              <w:t>изм.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11"/>
            </w:pPr>
            <w:r>
              <w:t>Место (адрес) поставки товара</w:t>
            </w:r>
          </w:p>
        </w:tc>
      </w:tr>
      <w:tr w:rsidR="00591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24"/>
            </w:pPr>
            <w:r>
              <w:t>1</w:t>
            </w:r>
          </w:p>
        </w:tc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25"/>
              <w:jc w:val="left"/>
            </w:pPr>
            <w:r>
              <w:t xml:space="preserve">Автомобиль легковой Chevrolet Niva GLC внедорожник 5 мест,дв.1.7 л 58.5 </w:t>
            </w:r>
            <w:r>
              <w:t>кВт,бензин,МКПП5,4х4</w:t>
            </w:r>
          </w:p>
        </w:tc>
        <w:tc>
          <w:tcPr>
            <w:tcW w:w="3179" w:type="dxa"/>
            <w:gridSpan w:val="11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26"/>
            </w:pPr>
            <w:r>
              <w:t>от  3 до 60 календарных дней со дня заключения договора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27"/>
            </w:pPr>
            <w:r>
              <w:t>2,000</w:t>
            </w:r>
          </w:p>
        </w:tc>
        <w:tc>
          <w:tcPr>
            <w:tcW w:w="1156" w:type="dxa"/>
            <w:gridSpan w:val="4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28"/>
            </w:pPr>
            <w:r>
              <w:t>Штука</w:t>
            </w:r>
          </w:p>
        </w:tc>
        <w:tc>
          <w:tcPr>
            <w:tcW w:w="3757" w:type="dxa"/>
            <w:gridSpan w:val="1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25"/>
              <w:jc w:val="left"/>
            </w:pPr>
            <w:r>
              <w:t>г.Бузулук, ул.Гая, 110</w:t>
            </w:r>
          </w:p>
        </w:tc>
      </w:tr>
      <w:tr w:rsidR="0072177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18"/>
              <w:jc w:val="left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  <w:tc>
          <w:tcPr>
            <w:tcW w:w="289" w:type="dxa"/>
            <w:shd w:val="clear" w:color="FFFFFF" w:fill="auto"/>
            <w:vAlign w:val="bottom"/>
          </w:tcPr>
          <w:p w:rsidR="005917D1" w:rsidRDefault="005917D1">
            <w:pPr>
              <w:pStyle w:val="1CStyle0"/>
            </w:pPr>
          </w:p>
        </w:tc>
      </w:tr>
      <w:tr w:rsidR="00591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78" w:type="dxa"/>
            <w:gridSpan w:val="2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917D1" w:rsidRDefault="00721774">
            <w:pPr>
              <w:pStyle w:val="1CStyle19"/>
            </w:pPr>
            <w:r>
              <w:t>3.</w:t>
            </w:r>
          </w:p>
        </w:tc>
        <w:tc>
          <w:tcPr>
            <w:tcW w:w="13872" w:type="dxa"/>
            <w:gridSpan w:val="48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bottom"/>
          </w:tcPr>
          <w:p w:rsidR="005917D1" w:rsidRDefault="00721774">
            <w:pPr>
              <w:pStyle w:val="1CStyle23"/>
              <w:jc w:val="left"/>
            </w:pPr>
            <w:r>
              <w:t>Условия проведения закупочной процедуры.</w:t>
            </w:r>
          </w:p>
        </w:tc>
      </w:tr>
      <w:tr w:rsidR="00591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29"/>
              <w:jc w:val="left"/>
            </w:pPr>
            <w:r>
              <w:t>Начальная (максимальная)  цена предмета закупки для участников, не освобожденных от уплаты НДС (с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30"/>
            </w:pPr>
            <w:r>
              <w:t>1 438 778,04</w:t>
            </w:r>
          </w:p>
        </w:tc>
        <w:tc>
          <w:tcPr>
            <w:tcW w:w="2312" w:type="dxa"/>
            <w:gridSpan w:val="8"/>
            <w:vMerge w:val="restart"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31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 w:val="restart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32"/>
            </w:pPr>
            <w:r>
              <w:t xml:space="preserve">Открытый запрос предложений в электронной </w:t>
            </w:r>
            <w:r>
              <w:t>форме</w:t>
            </w:r>
          </w:p>
        </w:tc>
      </w:tr>
      <w:tr w:rsidR="00591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29"/>
              <w:jc w:val="left"/>
            </w:pPr>
            <w:r>
              <w:t>В том числе НДС,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30"/>
            </w:pPr>
            <w:r>
              <w:t>219 474,62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31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32"/>
            </w:pPr>
            <w:r>
              <w:t>Открытый запрос предложений в электронной форме</w:t>
            </w:r>
          </w:p>
        </w:tc>
      </w:tr>
      <w:tr w:rsidR="00591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624" w:type="dxa"/>
            <w:gridSpan w:val="16"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29"/>
              <w:jc w:val="left"/>
            </w:pPr>
            <w:r>
              <w:t>Начальная (максимальная)  цена предмета закупки для участников, использующих право на освобождение от уплаты НДС или не являющихся налогоплательщиками</w:t>
            </w:r>
            <w:r>
              <w:t xml:space="preserve"> НДС (без  НДС), рублей</w:t>
            </w:r>
          </w:p>
        </w:tc>
        <w:tc>
          <w:tcPr>
            <w:tcW w:w="2601" w:type="dxa"/>
            <w:gridSpan w:val="9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33"/>
            </w:pPr>
            <w:r>
              <w:t>1 219 303,42</w:t>
            </w:r>
          </w:p>
        </w:tc>
        <w:tc>
          <w:tcPr>
            <w:tcW w:w="2312" w:type="dxa"/>
            <w:gridSpan w:val="8"/>
            <w:vMerge/>
            <w:tcBorders>
              <w:top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31"/>
            </w:pPr>
            <w:r>
              <w:t>Способ закупки</w:t>
            </w:r>
          </w:p>
        </w:tc>
        <w:tc>
          <w:tcPr>
            <w:tcW w:w="4913" w:type="dxa"/>
            <w:gridSpan w:val="17"/>
            <w:vMerge/>
            <w:tcBorders>
              <w:top w:val="single" w:sz="5" w:space="0" w:color="auto"/>
              <w:lef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32"/>
            </w:pPr>
            <w:r>
              <w:t>Открытый запрос предложений в электронной форме</w:t>
            </w:r>
          </w:p>
        </w:tc>
      </w:tr>
      <w:tr w:rsidR="005917D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647" w:type="dxa"/>
            <w:gridSpan w:val="23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34"/>
            </w:pPr>
            <w:r>
              <w:t>Обязательное требование к условиям оплаты товара</w:t>
            </w:r>
          </w:p>
        </w:tc>
        <w:tc>
          <w:tcPr>
            <w:tcW w:w="7803" w:type="dxa"/>
            <w:gridSpan w:val="27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917D1" w:rsidRDefault="00721774">
            <w:pPr>
              <w:pStyle w:val="1CStyle22"/>
              <w:jc w:val="left"/>
            </w:pPr>
            <w:r>
              <w:t>Безналичный рсачет. Оплата товара осуществляется Покупателем в течении 30-ти (тридцати) календарных дней с</w:t>
            </w:r>
            <w:r>
              <w:t xml:space="preserve"> даты подписания уполномоченными представителями сторон товарной накладной ТОРГ-121, акта приема-передачи и при условии получения Платильщиком по настоящему договору оригинала счета-фактуры.</w:t>
            </w:r>
          </w:p>
        </w:tc>
      </w:tr>
    </w:tbl>
    <w:p w:rsidR="00000000" w:rsidRDefault="00721774"/>
    <w:sectPr w:rsidR="00000000" w:rsidSect="0072177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9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917D1"/>
    <w:rsid w:val="005917D1"/>
    <w:rsid w:val="0072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CStyle0">
    <w:name w:val="1CStyle0"/>
    <w:pPr>
      <w:jc w:val="center"/>
    </w:pPr>
    <w:rPr>
      <w:rFonts w:ascii="Times New Roman" w:hAnsi="Times New Roman"/>
    </w:rPr>
  </w:style>
  <w:style w:type="paragraph" w:customStyle="1" w:styleId="1CStyle18">
    <w:name w:val="1CStyle18"/>
    <w:pPr>
      <w:jc w:val="center"/>
    </w:pPr>
    <w:rPr>
      <w:rFonts w:ascii="Times New Roman" w:hAnsi="Times New Roman"/>
    </w:rPr>
  </w:style>
  <w:style w:type="paragraph" w:customStyle="1" w:styleId="1CStyle23">
    <w:name w:val="1CStyle23"/>
    <w:pPr>
      <w:jc w:val="center"/>
    </w:pPr>
    <w:rPr>
      <w:rFonts w:ascii="Times New Roman" w:hAnsi="Times New Roman"/>
      <w:b/>
    </w:rPr>
  </w:style>
  <w:style w:type="paragraph" w:customStyle="1" w:styleId="1CStyle1">
    <w:name w:val="1CStyle1"/>
    <w:pPr>
      <w:jc w:val="center"/>
    </w:pPr>
    <w:rPr>
      <w:rFonts w:ascii="Times New Roman" w:hAnsi="Times New Roman"/>
      <w:b/>
      <w:sz w:val="28"/>
    </w:rPr>
  </w:style>
  <w:style w:type="paragraph" w:customStyle="1" w:styleId="1CStyle19">
    <w:name w:val="1CStyle19"/>
    <w:pPr>
      <w:jc w:val="center"/>
    </w:pPr>
    <w:rPr>
      <w:rFonts w:ascii="Times New Roman" w:hAnsi="Times New Roman"/>
      <w:b/>
    </w:rPr>
  </w:style>
  <w:style w:type="paragraph" w:customStyle="1" w:styleId="1CStyle3">
    <w:name w:val="1CStyle3"/>
    <w:pPr>
      <w:jc w:val="center"/>
    </w:pPr>
    <w:rPr>
      <w:rFonts w:ascii="Times New Roman" w:hAnsi="Times New Roman"/>
      <w:b/>
    </w:rPr>
  </w:style>
  <w:style w:type="paragraph" w:customStyle="1" w:styleId="1CStyle5">
    <w:name w:val="1CStyle5"/>
    <w:pPr>
      <w:jc w:val="center"/>
    </w:pPr>
    <w:rPr>
      <w:rFonts w:ascii="Times New Roman" w:hAnsi="Times New Roman"/>
    </w:rPr>
  </w:style>
  <w:style w:type="paragraph" w:customStyle="1" w:styleId="1CStyle4">
    <w:name w:val="1CStyle4"/>
    <w:pPr>
      <w:jc w:val="center"/>
    </w:pPr>
    <w:rPr>
      <w:rFonts w:ascii="Times New Roman" w:hAnsi="Times New Roman"/>
      <w:b/>
    </w:rPr>
  </w:style>
  <w:style w:type="paragraph" w:customStyle="1" w:styleId="1CStyle31">
    <w:name w:val="1CStyle31"/>
    <w:pPr>
      <w:jc w:val="center"/>
    </w:pPr>
    <w:rPr>
      <w:rFonts w:ascii="Times New Roman" w:hAnsi="Times New Roman"/>
    </w:rPr>
  </w:style>
  <w:style w:type="paragraph" w:customStyle="1" w:styleId="1CStyle2">
    <w:name w:val="1CStyle2"/>
    <w:pPr>
      <w:jc w:val="center"/>
    </w:pPr>
    <w:rPr>
      <w:rFonts w:ascii="Times New Roman" w:hAnsi="Times New Roman"/>
      <w:b/>
    </w:rPr>
  </w:style>
  <w:style w:type="paragraph" w:customStyle="1" w:styleId="1CStyle6">
    <w:name w:val="1CStyle6"/>
    <w:pPr>
      <w:jc w:val="center"/>
    </w:pPr>
    <w:rPr>
      <w:rFonts w:ascii="Times New Roman" w:hAnsi="Times New Roman"/>
      <w:sz w:val="20"/>
    </w:rPr>
  </w:style>
  <w:style w:type="paragraph" w:customStyle="1" w:styleId="1CStyle8">
    <w:name w:val="1CStyle8"/>
    <w:pPr>
      <w:jc w:val="center"/>
    </w:pPr>
    <w:rPr>
      <w:rFonts w:ascii="Times New Roman" w:hAnsi="Times New Roman"/>
      <w:sz w:val="20"/>
    </w:rPr>
  </w:style>
  <w:style w:type="paragraph" w:customStyle="1" w:styleId="1CStyle21">
    <w:name w:val="1CStyle21"/>
    <w:pPr>
      <w:jc w:val="right"/>
    </w:pPr>
    <w:rPr>
      <w:rFonts w:ascii="Times New Roman" w:hAnsi="Times New Roman"/>
    </w:rPr>
  </w:style>
  <w:style w:type="paragraph" w:customStyle="1" w:styleId="1CStyle-1">
    <w:name w:val="1CStyle-1"/>
    <w:pPr>
      <w:jc w:val="center"/>
    </w:pPr>
    <w:rPr>
      <w:rFonts w:ascii="Times New Roman" w:hAnsi="Times New Roman"/>
    </w:rPr>
  </w:style>
  <w:style w:type="paragraph" w:customStyle="1" w:styleId="1CStyle29">
    <w:name w:val="1CStyle29"/>
    <w:pPr>
      <w:jc w:val="center"/>
    </w:pPr>
    <w:rPr>
      <w:rFonts w:ascii="Times New Roman" w:hAnsi="Times New Roman"/>
    </w:rPr>
  </w:style>
  <w:style w:type="paragraph" w:customStyle="1" w:styleId="1CStyle22">
    <w:name w:val="1CStyle22"/>
    <w:pPr>
      <w:jc w:val="center"/>
    </w:pPr>
    <w:rPr>
      <w:rFonts w:ascii="Times New Roman" w:hAnsi="Times New Roman"/>
    </w:rPr>
  </w:style>
  <w:style w:type="paragraph" w:customStyle="1" w:styleId="1CStyle13">
    <w:name w:val="1CStyle13"/>
    <w:pPr>
      <w:jc w:val="center"/>
    </w:pPr>
    <w:rPr>
      <w:rFonts w:ascii="Times New Roman" w:hAnsi="Times New Roman"/>
      <w:sz w:val="20"/>
    </w:rPr>
  </w:style>
  <w:style w:type="paragraph" w:customStyle="1" w:styleId="1CStyle25">
    <w:name w:val="1CStyle25"/>
    <w:pPr>
      <w:jc w:val="center"/>
    </w:pPr>
    <w:rPr>
      <w:rFonts w:ascii="Times New Roman" w:hAnsi="Times New Roman"/>
      <w:sz w:val="20"/>
    </w:rPr>
  </w:style>
  <w:style w:type="paragraph" w:customStyle="1" w:styleId="1CStyle32">
    <w:name w:val="1CStyle32"/>
    <w:pPr>
      <w:jc w:val="center"/>
    </w:pPr>
    <w:rPr>
      <w:rFonts w:ascii="Times New Roman" w:hAnsi="Times New Roman"/>
    </w:rPr>
  </w:style>
  <w:style w:type="paragraph" w:customStyle="1" w:styleId="1CStyle7">
    <w:name w:val="1CStyle7"/>
    <w:pPr>
      <w:jc w:val="center"/>
    </w:pPr>
    <w:rPr>
      <w:rFonts w:ascii="Times New Roman" w:hAnsi="Times New Roman"/>
      <w:sz w:val="20"/>
    </w:rPr>
  </w:style>
  <w:style w:type="paragraph" w:customStyle="1" w:styleId="1CStyle16">
    <w:name w:val="1CStyle16"/>
    <w:pPr>
      <w:jc w:val="center"/>
    </w:pPr>
    <w:rPr>
      <w:rFonts w:ascii="Times New Roman" w:hAnsi="Times New Roman"/>
      <w:sz w:val="20"/>
    </w:rPr>
  </w:style>
  <w:style w:type="paragraph" w:customStyle="1" w:styleId="1CStyle12">
    <w:name w:val="1CStyle12"/>
    <w:pPr>
      <w:jc w:val="center"/>
    </w:pPr>
    <w:rPr>
      <w:rFonts w:ascii="Times New Roman" w:hAnsi="Times New Roman"/>
      <w:sz w:val="20"/>
    </w:rPr>
  </w:style>
  <w:style w:type="paragraph" w:customStyle="1" w:styleId="1CStyle9">
    <w:name w:val="1CStyle9"/>
    <w:pPr>
      <w:jc w:val="center"/>
    </w:pPr>
    <w:rPr>
      <w:rFonts w:ascii="Times New Roman" w:hAnsi="Times New Roman"/>
      <w:sz w:val="20"/>
    </w:rPr>
  </w:style>
  <w:style w:type="paragraph" w:customStyle="1" w:styleId="1CStyle26">
    <w:name w:val="1CStyle26"/>
    <w:pPr>
      <w:jc w:val="center"/>
    </w:pPr>
    <w:rPr>
      <w:rFonts w:ascii="Times New Roman" w:hAnsi="Times New Roman"/>
    </w:rPr>
  </w:style>
  <w:style w:type="paragraph" w:customStyle="1" w:styleId="1CStyle24">
    <w:name w:val="1CStyle24"/>
    <w:pPr>
      <w:jc w:val="center"/>
    </w:pPr>
    <w:rPr>
      <w:rFonts w:ascii="Times New Roman" w:hAnsi="Times New Roman"/>
      <w:sz w:val="20"/>
    </w:rPr>
  </w:style>
  <w:style w:type="paragraph" w:customStyle="1" w:styleId="1CStyle28">
    <w:name w:val="1CStyle28"/>
    <w:pPr>
      <w:jc w:val="center"/>
    </w:pPr>
    <w:rPr>
      <w:rFonts w:ascii="Times New Roman" w:hAnsi="Times New Roman"/>
      <w:sz w:val="20"/>
    </w:rPr>
  </w:style>
  <w:style w:type="paragraph" w:customStyle="1" w:styleId="1CStyle20">
    <w:name w:val="1CStyle20"/>
    <w:pPr>
      <w:jc w:val="center"/>
    </w:pPr>
    <w:rPr>
      <w:rFonts w:ascii="Times New Roman" w:hAnsi="Times New Roman"/>
      <w:b/>
    </w:rPr>
  </w:style>
  <w:style w:type="paragraph" w:customStyle="1" w:styleId="1CStyle10">
    <w:name w:val="1CStyle10"/>
    <w:pPr>
      <w:jc w:val="center"/>
    </w:pPr>
    <w:rPr>
      <w:rFonts w:ascii="Times New Roman" w:hAnsi="Times New Roman"/>
      <w:sz w:val="20"/>
    </w:rPr>
  </w:style>
  <w:style w:type="paragraph" w:customStyle="1" w:styleId="1CStyle34">
    <w:name w:val="1CStyle34"/>
    <w:pPr>
      <w:jc w:val="right"/>
    </w:pPr>
    <w:rPr>
      <w:rFonts w:ascii="Times New Roman" w:hAnsi="Times New Roman"/>
      <w:b/>
    </w:rPr>
  </w:style>
  <w:style w:type="paragraph" w:customStyle="1" w:styleId="1CStyle11">
    <w:name w:val="1CStyle11"/>
    <w:pPr>
      <w:jc w:val="center"/>
    </w:pPr>
    <w:rPr>
      <w:rFonts w:ascii="Times New Roman" w:hAnsi="Times New Roman"/>
      <w:sz w:val="20"/>
    </w:rPr>
  </w:style>
  <w:style w:type="paragraph" w:customStyle="1" w:styleId="1CStyle14">
    <w:name w:val="1CStyle14"/>
    <w:pPr>
      <w:jc w:val="right"/>
    </w:pPr>
    <w:rPr>
      <w:rFonts w:ascii="Times New Roman" w:hAnsi="Times New Roman"/>
      <w:sz w:val="20"/>
    </w:rPr>
  </w:style>
  <w:style w:type="paragraph" w:customStyle="1" w:styleId="1CStyle15">
    <w:name w:val="1CStyle15"/>
    <w:pPr>
      <w:jc w:val="center"/>
    </w:pPr>
    <w:rPr>
      <w:rFonts w:ascii="Times New Roman" w:hAnsi="Times New Roman"/>
      <w:sz w:val="20"/>
    </w:rPr>
  </w:style>
  <w:style w:type="paragraph" w:customStyle="1" w:styleId="1CStyle30">
    <w:name w:val="1CStyle30"/>
    <w:pPr>
      <w:jc w:val="center"/>
    </w:pPr>
    <w:rPr>
      <w:rFonts w:ascii="Times New Roman" w:hAnsi="Times New Roman"/>
    </w:rPr>
  </w:style>
  <w:style w:type="paragraph" w:customStyle="1" w:styleId="1CStyle33">
    <w:name w:val="1CStyle33"/>
    <w:pPr>
      <w:jc w:val="center"/>
    </w:pPr>
    <w:rPr>
      <w:rFonts w:ascii="Times New Roman" w:hAnsi="Times New Roman"/>
    </w:rPr>
  </w:style>
  <w:style w:type="paragraph" w:customStyle="1" w:styleId="1CStyle27">
    <w:name w:val="1CStyle27"/>
    <w:pPr>
      <w:jc w:val="right"/>
    </w:pPr>
    <w:rPr>
      <w:rFonts w:ascii="Times New Roman" w:hAnsi="Times New Roman"/>
      <w:sz w:val="20"/>
    </w:rPr>
  </w:style>
  <w:style w:type="paragraph" w:customStyle="1" w:styleId="1CStyle17">
    <w:name w:val="1CStyle17"/>
    <w:pPr>
      <w:ind w:left="20"/>
      <w:jc w:val="center"/>
    </w:pPr>
    <w:rPr>
      <w:rFonts w:ascii="Times New Roman" w:hAnsi="Times New Roman"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725</Words>
  <Characters>4138</Characters>
  <Application>Microsoft Office Word</Application>
  <DocSecurity>0</DocSecurity>
  <Lines>34</Lines>
  <Paragraphs>9</Paragraphs>
  <ScaleCrop>false</ScaleCrop>
  <Company/>
  <LinksUpToDate>false</LinksUpToDate>
  <CharactersWithSpaces>4854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Александр Игоревич Лютиков</cp:lastModifiedBy>
  <cp:revision>2</cp:revision>
  <dcterms:created xsi:type="dcterms:W3CDTF">2017-02-16T12:13:00Z</dcterms:created>
  <dcterms:modified xsi:type="dcterms:W3CDTF">2017-02-16T12:13:00Z</dcterms:modified>
</cp:coreProperties>
</file>